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widowControl w:val="0"/>
        <w:rPr>
          <w:rStyle w:val="None A"/>
          <w:b w:val="1"/>
          <w:bCs w:val="1"/>
          <w:sz w:val="36"/>
          <w:szCs w:val="36"/>
        </w:rPr>
      </w:pPr>
      <w:r>
        <w:rPr>
          <w:rStyle w:val="None A"/>
          <w:rFonts w:ascii="Arial Black" w:hAnsi="Arial Black"/>
          <w:sz w:val="32"/>
          <w:szCs w:val="32"/>
        </w:rPr>
        <w:drawing>
          <wp:inline distT="0" distB="0" distL="0" distR="0">
            <wp:extent cx="2562225" cy="857250"/>
            <wp:effectExtent l="0" t="0" r="0" b="0"/>
            <wp:docPr id="1073741825" name="officeArt object" descr="logo"/>
            <wp:cNvGraphicFramePr/>
            <a:graphic xmlns:a="http://schemas.openxmlformats.org/drawingml/2006/main">
              <a:graphicData uri="http://schemas.openxmlformats.org/drawingml/2006/picture">
                <pic:pic xmlns:pic="http://schemas.openxmlformats.org/drawingml/2006/picture">
                  <pic:nvPicPr>
                    <pic:cNvPr id="1073741825" name="image1.png" descr="logo"/>
                    <pic:cNvPicPr>
                      <a:picLocks noChangeAspect="1"/>
                    </pic:cNvPicPr>
                  </pic:nvPicPr>
                  <pic:blipFill>
                    <a:blip r:embed="rId4">
                      <a:extLst/>
                    </a:blip>
                    <a:stretch>
                      <a:fillRect/>
                    </a:stretch>
                  </pic:blipFill>
                  <pic:spPr>
                    <a:xfrm>
                      <a:off x="0" y="0"/>
                      <a:ext cx="2562225" cy="857250"/>
                    </a:xfrm>
                    <a:prstGeom prst="rect">
                      <a:avLst/>
                    </a:prstGeom>
                    <a:ln w="12700" cap="flat">
                      <a:noFill/>
                      <a:miter lim="400000"/>
                    </a:ln>
                    <a:effectLst/>
                  </pic:spPr>
                </pic:pic>
              </a:graphicData>
            </a:graphic>
          </wp:inline>
        </w:drawing>
      </w:r>
      <w:r>
        <w:rPr>
          <w:rtl w:val="0"/>
        </w:rPr>
        <w:t xml:space="preserve"> </w:t>
      </w:r>
      <w:r>
        <w:rPr>
          <w:rStyle w:val="None A"/>
          <w:b w:val="1"/>
          <w:bCs w:val="1"/>
          <w:sz w:val="36"/>
          <w:szCs w:val="36"/>
          <w:rtl w:val="0"/>
          <w:lang w:val="de-DE"/>
        </w:rPr>
        <w:t>Tracking Platform Order Form</w:t>
      </w:r>
    </w:p>
    <w:tbl>
      <w:tblPr>
        <w:tblW w:w="9129"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3535"/>
        <w:gridCol w:w="5594"/>
      </w:tblGrid>
      <w:tr>
        <w:tblPrEx>
          <w:shd w:val="clear" w:color="auto" w:fill="ceddeb"/>
        </w:tblPrEx>
        <w:trPr>
          <w:trHeight w:val="305" w:hRule="atLeast"/>
        </w:trPr>
        <w:tc>
          <w:tcPr>
            <w:tcW w:type="dxa" w:w="353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sz w:val="24"/>
                <w:szCs w:val="24"/>
                <w:rtl w:val="0"/>
                <w:lang w:val="en-US"/>
              </w:rPr>
              <w:t>Name</w:t>
            </w:r>
          </w:p>
        </w:tc>
        <w:tc>
          <w:tcPr>
            <w:tcW w:type="dxa" w:w="5594"/>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deb"/>
        </w:tblPrEx>
        <w:trPr>
          <w:trHeight w:val="320" w:hRule="atLeast"/>
        </w:trPr>
        <w:tc>
          <w:tcPr>
            <w:tcW w:type="dxa" w:w="3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A"/>
                <w:sz w:val="24"/>
                <w:szCs w:val="24"/>
                <w:rtl w:val="0"/>
                <w:lang w:val="en-US"/>
              </w:rPr>
              <w:t>Ship to Address</w:t>
            </w:r>
          </w:p>
        </w:tc>
        <w:tc>
          <w:tcPr>
            <w:tcW w:type="dxa" w:w="559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deb"/>
        </w:tblPrEx>
        <w:trPr>
          <w:trHeight w:val="320" w:hRule="atLeast"/>
        </w:trPr>
        <w:tc>
          <w:tcPr>
            <w:tcW w:type="dxa" w:w="3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A"/>
                <w:sz w:val="24"/>
                <w:szCs w:val="24"/>
                <w:rtl w:val="0"/>
                <w:lang w:val="en-US"/>
              </w:rPr>
              <w:t>Ship to City</w:t>
            </w:r>
          </w:p>
        </w:tc>
        <w:tc>
          <w:tcPr>
            <w:tcW w:type="dxa" w:w="559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deb"/>
        </w:tblPrEx>
        <w:trPr>
          <w:trHeight w:val="320" w:hRule="atLeast"/>
        </w:trPr>
        <w:tc>
          <w:tcPr>
            <w:tcW w:type="dxa" w:w="3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A"/>
                <w:sz w:val="24"/>
                <w:szCs w:val="24"/>
                <w:rtl w:val="0"/>
                <w:lang w:val="en-US"/>
              </w:rPr>
              <w:t xml:space="preserve">Ship to </w:t>
            </w:r>
            <w:r>
              <w:rPr>
                <w:rStyle w:val="None A"/>
                <w:sz w:val="24"/>
                <w:szCs w:val="24"/>
                <w:rtl w:val="0"/>
                <w:lang w:val="en-US"/>
              </w:rPr>
              <w:t>State</w:t>
            </w:r>
          </w:p>
        </w:tc>
        <w:tc>
          <w:tcPr>
            <w:tcW w:type="dxa" w:w="559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deb"/>
        </w:tblPrEx>
        <w:trPr>
          <w:trHeight w:val="320" w:hRule="atLeast"/>
        </w:trPr>
        <w:tc>
          <w:tcPr>
            <w:tcW w:type="dxa" w:w="3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A"/>
                <w:sz w:val="24"/>
                <w:szCs w:val="24"/>
                <w:rtl w:val="0"/>
                <w:lang w:val="en-US"/>
              </w:rPr>
              <w:t>Ship to Zip Code</w:t>
            </w:r>
          </w:p>
        </w:tc>
        <w:tc>
          <w:tcPr>
            <w:tcW w:type="dxa" w:w="559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deb"/>
        </w:tblPrEx>
        <w:trPr>
          <w:trHeight w:val="320" w:hRule="atLeast"/>
        </w:trPr>
        <w:tc>
          <w:tcPr>
            <w:tcW w:type="dxa" w:w="3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Calibri" w:cs="Calibri" w:hAnsi="Calibri" w:eastAsia="Calibri"/>
                <w:sz w:val="24"/>
                <w:szCs w:val="24"/>
                <w:rtl w:val="0"/>
              </w:rPr>
              <w:t>Observing Latitude</w:t>
            </w:r>
          </w:p>
        </w:tc>
        <w:tc>
          <w:tcPr>
            <w:tcW w:type="dxa" w:w="559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deb"/>
        </w:tblPrEx>
        <w:trPr>
          <w:trHeight w:val="490" w:hRule="atLeast"/>
        </w:trPr>
        <w:tc>
          <w:tcPr>
            <w:tcW w:type="dxa" w:w="3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Calibri" w:cs="Calibri" w:hAnsi="Calibri" w:eastAsia="Calibri"/>
                <w:rtl w:val="0"/>
              </w:rPr>
              <w:t>Platform Type (EQT-150SC, EQT-200 or EQT-225SC)</w:t>
            </w:r>
          </w:p>
        </w:tc>
        <w:tc>
          <w:tcPr>
            <w:tcW w:type="dxa" w:w="559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deb"/>
        </w:tblPrEx>
        <w:trPr>
          <w:trHeight w:val="580" w:hRule="atLeast"/>
        </w:trPr>
        <w:tc>
          <w:tcPr>
            <w:tcW w:type="dxa" w:w="3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A"/>
                <w:sz w:val="24"/>
                <w:szCs w:val="24"/>
                <w:rtl w:val="0"/>
                <w:lang w:val="en-US"/>
              </w:rPr>
              <w:t>PTFE p</w:t>
            </w:r>
            <w:r>
              <w:rPr>
                <w:rStyle w:val="None A"/>
                <w:sz w:val="24"/>
                <w:szCs w:val="24"/>
                <w:rtl w:val="0"/>
                <w:lang w:val="en-US"/>
              </w:rPr>
              <w:t>ad distance from</w:t>
            </w:r>
            <w:r>
              <w:rPr>
                <w:rStyle w:val="None A"/>
                <w:sz w:val="24"/>
                <w:szCs w:val="24"/>
                <w:rtl w:val="0"/>
                <w:lang w:val="en-US"/>
              </w:rPr>
              <w:t xml:space="preserve"> </w:t>
            </w:r>
            <w:r>
              <w:rPr>
                <w:rStyle w:val="None A"/>
                <w:sz w:val="24"/>
                <w:szCs w:val="24"/>
                <w:rtl w:val="0"/>
                <w:lang w:val="en-US"/>
              </w:rPr>
              <w:t>Center Pivot*</w:t>
            </w:r>
          </w:p>
        </w:tc>
        <w:tc>
          <w:tcPr>
            <w:tcW w:type="dxa" w:w="559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deb"/>
        </w:tblPrEx>
        <w:trPr>
          <w:trHeight w:val="320" w:hRule="atLeast"/>
        </w:trPr>
        <w:tc>
          <w:tcPr>
            <w:tcW w:type="dxa" w:w="3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A"/>
                <w:sz w:val="24"/>
                <w:szCs w:val="24"/>
                <w:rtl w:val="0"/>
                <w:lang w:val="en-US"/>
              </w:rPr>
              <w:t>Approximate scope weight</w:t>
            </w:r>
          </w:p>
        </w:tc>
        <w:tc>
          <w:tcPr>
            <w:tcW w:type="dxa" w:w="559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deb"/>
        </w:tblPrEx>
        <w:trPr>
          <w:trHeight w:val="320" w:hRule="atLeast"/>
        </w:trPr>
        <w:tc>
          <w:tcPr>
            <w:tcW w:type="dxa" w:w="3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A"/>
                <w:sz w:val="24"/>
                <w:szCs w:val="24"/>
                <w:rtl w:val="0"/>
                <w:lang w:val="en-US"/>
              </w:rPr>
              <w:t>Rocker Box thickness</w:t>
            </w:r>
          </w:p>
        </w:tc>
        <w:tc>
          <w:tcPr>
            <w:tcW w:type="dxa" w:w="559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deb"/>
        </w:tblPrEx>
        <w:trPr>
          <w:trHeight w:val="600" w:hRule="atLeast"/>
        </w:trPr>
        <w:tc>
          <w:tcPr>
            <w:tcW w:type="dxa" w:w="3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A"/>
                <w:sz w:val="24"/>
                <w:szCs w:val="24"/>
                <w:rtl w:val="0"/>
                <w:lang w:val="en-US"/>
              </w:rPr>
              <w:t xml:space="preserve">Center Bolt Size (Example </w:t>
            </w:r>
            <w:r>
              <w:rPr>
                <w:rStyle w:val="None A"/>
                <w:sz w:val="24"/>
                <w:szCs w:val="24"/>
                <w:rtl w:val="0"/>
                <w:lang w:val="en-US"/>
              </w:rPr>
              <w:t>½”</w:t>
            </w:r>
            <w:r>
              <w:rPr>
                <w:rStyle w:val="None A"/>
                <w:sz w:val="24"/>
                <w:szCs w:val="24"/>
                <w:rtl w:val="0"/>
                <w:lang w:val="en-US"/>
              </w:rPr>
              <w:t>-13)*</w:t>
            </w:r>
          </w:p>
        </w:tc>
        <w:tc>
          <w:tcPr>
            <w:tcW w:type="dxa" w:w="559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A"/>
        <w:widowControl w:val="0"/>
        <w:spacing w:line="240" w:lineRule="auto"/>
        <w:ind w:left="216" w:hanging="216"/>
      </w:pPr>
    </w:p>
    <w:p>
      <w:pPr>
        <w:pStyle w:val="Body A"/>
        <w:rPr>
          <w:sz w:val="24"/>
          <w:szCs w:val="24"/>
        </w:rPr>
      </w:pPr>
    </w:p>
    <w:p>
      <w:pPr>
        <w:pStyle w:val="Body A"/>
        <w:rPr>
          <w:rStyle w:val="None A"/>
          <w:sz w:val="24"/>
          <w:szCs w:val="24"/>
        </w:rPr>
      </w:pPr>
      <w:r>
        <w:rPr>
          <w:rStyle w:val="None A"/>
          <w:sz w:val="24"/>
          <w:szCs w:val="24"/>
          <w:rtl w:val="0"/>
          <w:lang w:val="en-US"/>
        </w:rPr>
        <w:t>*</w:t>
      </w:r>
      <w:r>
        <w:rPr>
          <w:rStyle w:val="None A"/>
          <w:sz w:val="24"/>
          <w:szCs w:val="24"/>
          <w:rtl w:val="0"/>
          <w:lang w:val="en-US"/>
        </w:rPr>
        <w:t>PTFE</w:t>
      </w:r>
      <w:r>
        <w:rPr>
          <w:rStyle w:val="None A"/>
          <w:sz w:val="24"/>
          <w:szCs w:val="24"/>
          <w:rtl w:val="0"/>
          <w:lang w:val="en-US"/>
        </w:rPr>
        <w:t xml:space="preserve"> Pad Maximum distance </w:t>
      </w:r>
      <w:r>
        <w:rPr>
          <w:rStyle w:val="None A"/>
          <w:sz w:val="24"/>
          <w:szCs w:val="24"/>
          <w:rtl w:val="0"/>
          <w:lang w:val="en-US"/>
        </w:rPr>
        <w:t>12</w:t>
      </w:r>
      <w:r>
        <w:rPr>
          <w:rStyle w:val="None A"/>
          <w:sz w:val="24"/>
          <w:szCs w:val="24"/>
          <w:rtl w:val="0"/>
          <w:lang w:val="en-US"/>
        </w:rPr>
        <w:t xml:space="preserve">” </w:t>
      </w:r>
      <w:r>
        <w:rPr>
          <w:rStyle w:val="None A"/>
          <w:sz w:val="24"/>
          <w:szCs w:val="24"/>
          <w:rtl w:val="0"/>
          <w:lang w:val="en-US"/>
        </w:rPr>
        <w:t>for EQT-150SC and 14</w:t>
      </w:r>
      <w:r>
        <w:rPr>
          <w:rStyle w:val="None A"/>
          <w:sz w:val="24"/>
          <w:szCs w:val="24"/>
          <w:rtl w:val="0"/>
          <w:lang w:val="en-US"/>
        </w:rPr>
        <w:t xml:space="preserve">” </w:t>
      </w:r>
      <w:r>
        <w:rPr>
          <w:rStyle w:val="None A"/>
          <w:sz w:val="24"/>
          <w:szCs w:val="24"/>
          <w:rtl w:val="0"/>
          <w:lang w:val="en-US"/>
        </w:rPr>
        <w:t>for EQT-200/225SC</w:t>
      </w:r>
    </w:p>
    <w:p>
      <w:pPr>
        <w:pStyle w:val="Body A"/>
        <w:rPr>
          <w:rStyle w:val="None A"/>
          <w:sz w:val="24"/>
          <w:szCs w:val="24"/>
        </w:rPr>
      </w:pPr>
      <w:r>
        <w:rPr>
          <w:rStyle w:val="None A"/>
          <w:sz w:val="24"/>
          <w:szCs w:val="24"/>
          <w:rtl w:val="0"/>
          <w:lang w:val="en-US"/>
        </w:rPr>
        <w:t>**Pivot bolt is supplied with the platform and sized to the next longer standard bolt size based on measurements provided. Pivot bolts can be modified for DSC encoder for an additional charge of $30. Please indicate on the order form.</w:t>
      </w:r>
    </w:p>
    <w:p>
      <w:pPr>
        <w:pStyle w:val="Body A"/>
        <w:rPr>
          <w:rStyle w:val="None A"/>
          <w:b w:val="1"/>
          <w:bCs w:val="1"/>
          <w:sz w:val="32"/>
          <w:szCs w:val="32"/>
        </w:rPr>
      </w:pPr>
      <w:r>
        <w:rPr>
          <w:rStyle w:val="None A"/>
          <w:sz w:val="24"/>
          <w:szCs w:val="24"/>
          <w:rtl w:val="0"/>
          <w:lang w:val="fr-FR"/>
        </w:rPr>
        <w:t xml:space="preserve">Additional comments/requests: </w:t>
      </w:r>
    </w:p>
    <w:p>
      <w:pPr>
        <w:pStyle w:val="Body A"/>
        <w:widowControl w:val="0"/>
        <w:spacing w:line="240" w:lineRule="auto"/>
        <w:ind w:left="108" w:hanging="108"/>
        <w:rPr>
          <w:b w:val="1"/>
          <w:bCs w:val="1"/>
          <w:sz w:val="32"/>
          <w:szCs w:val="32"/>
        </w:rPr>
      </w:pPr>
    </w:p>
    <w:p>
      <w:pPr>
        <w:pStyle w:val="Body A"/>
        <w:widowControl w:val="0"/>
        <w:spacing w:line="240" w:lineRule="auto"/>
        <w:rPr>
          <w:b w:val="1"/>
          <w:bCs w:val="1"/>
          <w:sz w:val="32"/>
          <w:szCs w:val="32"/>
        </w:rPr>
      </w:pPr>
    </w:p>
    <w:p>
      <w:pPr>
        <w:pStyle w:val="Body A"/>
        <w:rPr>
          <w:sz w:val="24"/>
          <w:szCs w:val="24"/>
        </w:rPr>
      </w:pPr>
    </w:p>
    <w:p>
      <w:pPr>
        <w:pStyle w:val="Body A"/>
      </w:pPr>
      <w:r>
        <w:rPr>
          <w:rStyle w:val="None A"/>
          <w:sz w:val="24"/>
          <w:szCs w:val="24"/>
          <w:rtl w:val="0"/>
          <w:lang w:val="en-US"/>
        </w:rPr>
        <w:t xml:space="preserve">Please E-mail all orders to: </w:t>
      </w:r>
      <w:r>
        <w:rPr>
          <w:rStyle w:val="None A"/>
          <w:sz w:val="24"/>
          <w:szCs w:val="24"/>
          <w:rtl w:val="0"/>
          <w:lang w:val="en-US"/>
        </w:rPr>
        <w:t>greggsblandin@earthlink.net</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A">
    <w:name w:val="None A"/>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